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6"/>
          <w:szCs w:val="26"/>
        </w:rPr>
      </w:pPr>
      <w:r>
        <w:rPr>
          <w:b/>
          <w:bCs/>
          <w:sz w:val="26"/>
          <w:szCs w:val="26"/>
        </w:rPr>
        <w:t>ORC ĐỒNG BẰNG SÔNG CỬU LONG 2026 – 2027: GẦN 250 ĐỘI ĐĂNG KÝ THAM GIA, SẴN SÀNG CHINH PHỤC ĐẤU TRƯỜNG ROBOTICS</w:t>
      </w:r>
    </w:p>
    <w:p>
      <w:pPr>
        <w:pStyle w:val="Normal"/>
        <w:bidi w:val="0"/>
        <w:jc w:val="both"/>
        <w:rPr>
          <w:sz w:val="26"/>
          <w:szCs w:val="26"/>
        </w:rPr>
      </w:pPr>
      <w:r>
        <w:rPr>
          <w:sz w:val="26"/>
          <w:szCs w:val="26"/>
        </w:rPr>
      </w:r>
    </w:p>
    <w:p>
      <w:pPr>
        <w:pStyle w:val="Normal"/>
        <w:bidi w:val="0"/>
        <w:jc w:val="both"/>
        <w:rPr>
          <w:sz w:val="26"/>
          <w:szCs w:val="26"/>
        </w:rPr>
      </w:pPr>
      <w:r>
        <w:rPr>
          <w:sz w:val="26"/>
          <w:szCs w:val="26"/>
        </w:rPr>
        <w:tab/>
        <w:t>Cuộc thi Robotics ORC Đồng bằng sông Cửu Long năm học 2026 – 2027 đang thu hút sự quan tâm của đông đảo học sinh, sinh viên yêu thích khoa học và công nghệ. Đến nay, cuộc thi đã ghi nhận gần 250 đội đăng ký tham gia, hứa hẹn mang đến những màn tranh tài sôi nổi, nơi kiến thức lập trình, tư duy sáng tạo và khả năng giải quyết vấn đề được phát huy qua từng thử thách.</w:t>
      </w:r>
    </w:p>
    <w:p>
      <w:pPr>
        <w:pStyle w:val="Normal"/>
        <w:bidi w:val="0"/>
        <w:jc w:val="both"/>
        <w:rPr>
          <w:sz w:val="26"/>
          <w:szCs w:val="26"/>
        </w:rPr>
      </w:pPr>
      <w:r>
        <w:rPr>
          <w:sz w:val="26"/>
          <w:szCs w:val="26"/>
        </w:rPr>
        <w:tab/>
        <w:t>Đặc biệt, Trường Đại học Tây Đô là địa điểm tổ chức vòng thi thực tế của cuộc thi, góp phần đưa sân chơi Robotics đến gần hơn với học sinh, sinh viên khu vực Đồng bằng sông Cửu Long.</w:t>
      </w:r>
    </w:p>
    <w:p>
      <w:pPr>
        <w:pStyle w:val="Normal"/>
        <w:bidi w:val="0"/>
        <w:jc w:val="both"/>
        <w:rPr>
          <w:i/>
          <w:i/>
          <w:iCs/>
          <w:sz w:val="26"/>
          <w:szCs w:val="26"/>
        </w:rPr>
      </w:pPr>
      <w:r>
        <w:rPr>
          <w:i/>
          <w:iCs/>
          <w:sz w:val="26"/>
          <w:szCs w:val="26"/>
        </w:rPr>
        <w:t>(hình)</w:t>
      </w:r>
    </w:p>
    <w:p>
      <w:pPr>
        <w:pStyle w:val="Normal"/>
        <w:bidi w:val="0"/>
        <w:jc w:val="both"/>
        <w:rPr>
          <w:sz w:val="26"/>
          <w:szCs w:val="26"/>
        </w:rPr>
      </w:pPr>
      <w:r>
        <w:rPr>
          <w:b/>
          <w:bCs/>
          <w:sz w:val="26"/>
          <w:szCs w:val="26"/>
        </w:rPr>
        <w:t>Sân chơi công nghệ dành cho nhiều lứa tuổi</w:t>
      </w:r>
    </w:p>
    <w:p>
      <w:pPr>
        <w:pStyle w:val="Normal"/>
        <w:bidi w:val="0"/>
        <w:jc w:val="both"/>
        <w:rPr>
          <w:sz w:val="26"/>
          <w:szCs w:val="26"/>
        </w:rPr>
      </w:pPr>
      <w:r>
        <w:rPr>
          <w:sz w:val="26"/>
          <w:szCs w:val="26"/>
        </w:rPr>
        <w:tab/>
        <w:t>ORC Đồng bằng sông Cửu Long 2026 – 2027 là cơ hội để học sinh từ bậc tiểu học, THCS, THPT đến sinh viên tiếp cận Robotics, vận dụng kiến thức vào thực tiễn và phát triển năng lực công nghệ thông qua các thử thách lập trình robot. Với ba bảng thi đấu được thiết kế phù hợp theo độ tuổi và trình độ, cuộc thi tạo điều kiện để các đội phát huy thế mạnh, thử nghiệm ý tưởng và từng bước hoàn thiện kỹ năng.</w:t>
      </w:r>
    </w:p>
    <w:p>
      <w:pPr>
        <w:pStyle w:val="Normal"/>
        <w:bidi w:val="0"/>
        <w:jc w:val="both"/>
        <w:rPr>
          <w:sz w:val="26"/>
          <w:szCs w:val="26"/>
        </w:rPr>
      </w:pPr>
      <w:r>
        <w:rPr>
          <w:sz w:val="26"/>
          <w:szCs w:val="26"/>
        </w:rPr>
        <w:tab/>
        <w:t>Điểm nổi bật của cuộc thi là hình thức thi đấu trực tuyến trên môi trường robot ảo ở vòng sơ loại. Thông qua việc lập trình, điều khiển robot thực hiện nhiệm vụ và điều chỉnh chiến thuật, các đội có cơ hội làm quen với tư duy thuật toán, rèn luyện khả năng phân tích và tìm kiếm giải pháp cho những tình huống cụ thể.</w:t>
      </w:r>
    </w:p>
    <w:p>
      <w:pPr>
        <w:pStyle w:val="Normal"/>
        <w:bidi w:val="0"/>
        <w:jc w:val="both"/>
        <w:rPr>
          <w:sz w:val="26"/>
          <w:szCs w:val="26"/>
        </w:rPr>
      </w:pPr>
      <w:r>
        <w:rPr>
          <w:sz w:val="26"/>
          <w:szCs w:val="26"/>
        </w:rPr>
        <w:tab/>
        <w:t>Bên cạnh đó, các đội thi còn được tham gia tập huấn chuyên môn, tiếp cận kiến thức về lập trình, chế tạo robot và làm quen với sa bàn, nhiệm vụ của mùa giải. Chính sự kết hợp giữa học tập, thực hành và thi đấu giúp Robotics trở thành sân chơi bổ ích, khơi dậy niềm đam mê khoa học công nghệ trong thế hệ trẻ.</w:t>
      </w:r>
    </w:p>
    <w:p>
      <w:pPr>
        <w:pStyle w:val="Normal"/>
        <w:bidi w:val="0"/>
        <w:jc w:val="both"/>
        <w:rPr>
          <w:sz w:val="26"/>
          <w:szCs w:val="26"/>
        </w:rPr>
      </w:pPr>
      <w:r>
        <w:rPr>
          <w:sz w:val="26"/>
          <w:szCs w:val="26"/>
        </w:rPr>
        <w:tab/>
        <w:t>Đáng chú ý, chương trình có chính sách hỗ trợ thiết bị miễn phí, tạo thêm cơ hội cho những đội chưa có robot tiếp cận và tham gia cuộc thi. Qua đó, các đội có thể mạnh dạn thử sức, tích lũy kinh nghiệm và phát triển năng lực mà không bị giới hạn bởi điều kiện thiết bị ban đầu.</w:t>
      </w:r>
    </w:p>
    <w:p>
      <w:pPr>
        <w:pStyle w:val="Normal"/>
        <w:bidi w:val="0"/>
        <w:jc w:val="both"/>
        <w:rPr>
          <w:sz w:val="26"/>
          <w:szCs w:val="26"/>
        </w:rPr>
      </w:pPr>
      <w:r>
        <w:rPr>
          <w:b/>
          <w:bCs/>
          <w:sz w:val="26"/>
          <w:szCs w:val="26"/>
        </w:rPr>
        <w:t>Tranh tài trực tiếp tại Trường Đại học Tây Đô</w:t>
      </w:r>
    </w:p>
    <w:p>
      <w:pPr>
        <w:pStyle w:val="Normal"/>
        <w:bidi w:val="0"/>
        <w:jc w:val="both"/>
        <w:rPr>
          <w:sz w:val="26"/>
          <w:szCs w:val="26"/>
        </w:rPr>
      </w:pPr>
      <w:r>
        <w:rPr>
          <w:sz w:val="26"/>
          <w:szCs w:val="26"/>
        </w:rPr>
        <w:tab/>
        <w:t>Theo kế hoạch, cuộc thi sẽ diễn ra qua các giai đoạn với những nội dung cụ thể:</w:t>
      </w:r>
    </w:p>
    <w:p>
      <w:pPr>
        <w:pStyle w:val="Normal"/>
        <w:bidi w:val="0"/>
        <w:ind w:firstLine="720" w:start="0" w:end="0"/>
        <w:jc w:val="both"/>
        <w:rPr>
          <w:sz w:val="26"/>
          <w:szCs w:val="26"/>
        </w:rPr>
      </w:pPr>
      <w:r>
        <w:rPr>
          <w:sz w:val="26"/>
          <w:szCs w:val="26"/>
        </w:rPr>
        <w:t>- Từ ngày 15 – 25/10/2026: Tập huấn chuyên môn.</w:t>
      </w:r>
    </w:p>
    <w:p>
      <w:pPr>
        <w:pStyle w:val="Normal"/>
        <w:bidi w:val="0"/>
        <w:ind w:firstLine="720" w:start="0" w:end="0"/>
        <w:jc w:val="both"/>
        <w:rPr>
          <w:sz w:val="26"/>
          <w:szCs w:val="26"/>
        </w:rPr>
      </w:pPr>
      <w:r>
        <w:rPr>
          <w:sz w:val="26"/>
          <w:szCs w:val="26"/>
        </w:rPr>
        <w:t>- Từ ngày 01 – 05/11/2026: Vòng sơ loại trực tuyến.</w:t>
      </w:r>
    </w:p>
    <w:p>
      <w:pPr>
        <w:pStyle w:val="Normal"/>
        <w:bidi w:val="0"/>
        <w:ind w:firstLine="720" w:start="0" w:end="0"/>
        <w:jc w:val="both"/>
        <w:rPr>
          <w:sz w:val="26"/>
          <w:szCs w:val="26"/>
        </w:rPr>
      </w:pPr>
      <w:r>
        <w:rPr>
          <w:sz w:val="26"/>
          <w:szCs w:val="26"/>
        </w:rPr>
        <w:t>- Ngày 28 – 29/11/2026: Vòng thi thực tế tại Trường Đại học Tây Đô, TP. Cần Thơ.</w:t>
      </w:r>
    </w:p>
    <w:p>
      <w:pPr>
        <w:pStyle w:val="Normal"/>
        <w:bidi w:val="0"/>
        <w:ind w:firstLine="720" w:start="0" w:end="0"/>
        <w:jc w:val="both"/>
        <w:rPr>
          <w:sz w:val="26"/>
          <w:szCs w:val="26"/>
        </w:rPr>
      </w:pPr>
      <w:r>
        <w:rPr>
          <w:sz w:val="26"/>
          <w:szCs w:val="26"/>
        </w:rPr>
        <w:t>Sau vòng sơ loại, các đội đáp ứng tiêu chuẩn theo quy định sẽ tiếp tục tranh tài trực tiếp, vận dụng những kiến thức và kỹ năng đã tích lũy để chinh phục các nhiệm vụ của cuộc thi. Những đội đạt thành tích theo tiêu chí của Ban Tổ chức sẽ có cơ hội tham gia vòng chung kết ORC toàn quốc năm học 2026 – 2027. Hệ thống giải thưởng của cuộc thi có tổng giá trị hơn 200 triệu đồng.</w:t>
      </w:r>
    </w:p>
    <w:p>
      <w:pPr>
        <w:pStyle w:val="Normal"/>
        <w:bidi w:val="0"/>
        <w:ind w:firstLine="720" w:start="0" w:end="0"/>
        <w:jc w:val="both"/>
        <w:rPr>
          <w:sz w:val="26"/>
          <w:szCs w:val="26"/>
        </w:rPr>
      </w:pPr>
      <w:r>
        <w:rPr>
          <w:sz w:val="26"/>
          <w:szCs w:val="26"/>
        </w:rPr>
        <w:t>Việc tổ chức vòng thi thực tế tại Trường Đại học Tây Đô không chỉ tạo điều kiện để các đội giao lưu, học hỏi và thể hiện năng lực mà còn góp phần lan tỏa tinh thần nghiên cứu, sáng tạo và ứng dụng công nghệ trong cộng đồng học sinh, sinh viên khu vực.</w:t>
      </w:r>
    </w:p>
    <w:p>
      <w:pPr>
        <w:pStyle w:val="Normal"/>
        <w:bidi w:val="0"/>
        <w:jc w:val="both"/>
        <w:rPr>
          <w:sz w:val="26"/>
          <w:szCs w:val="26"/>
        </w:rPr>
      </w:pPr>
      <w:r>
        <w:rPr>
          <w:b/>
          <w:bCs/>
          <w:sz w:val="26"/>
          <w:szCs w:val="26"/>
        </w:rPr>
        <w:t>Lan tỏa niềm đam mê khoa học và công nghệ</w:t>
      </w:r>
    </w:p>
    <w:p>
      <w:pPr>
        <w:pStyle w:val="Normal"/>
        <w:bidi w:val="0"/>
        <w:ind w:firstLine="720" w:start="0" w:end="0"/>
        <w:jc w:val="both"/>
        <w:rPr>
          <w:sz w:val="26"/>
          <w:szCs w:val="26"/>
        </w:rPr>
      </w:pPr>
      <w:r>
        <w:rPr>
          <w:sz w:val="26"/>
          <w:szCs w:val="26"/>
        </w:rPr>
        <w:t>Với gần 250 đội đăng ký tham gia, ORC Đồng bằng sông Cửu Long 2026 – 2027 đang từng bước khẳng định sức hút của một sân chơi giáo dục công nghệ, nơi người học được khuyến khích chủ động khám phá, thử nghiệm và biến ý tưởng thành những giải pháp cụ thể.</w:t>
      </w:r>
    </w:p>
    <w:p>
      <w:pPr>
        <w:pStyle w:val="Normal"/>
        <w:bidi w:val="0"/>
        <w:ind w:firstLine="720" w:start="0" w:end="0"/>
        <w:jc w:val="both"/>
        <w:rPr>
          <w:sz w:val="26"/>
          <w:szCs w:val="26"/>
        </w:rPr>
      </w:pPr>
      <w:r>
        <w:rPr>
          <w:sz w:val="26"/>
          <w:szCs w:val="26"/>
        </w:rPr>
        <w:t>Thông qua cuộc thi, các đội không chỉ có cơ hội nâng cao kiến thức về lập trình và Robotics mà còn rèn luyện tư duy logic, kỹ năng làm việc nhóm, tinh thần kiên trì và khả năng thích ứng trước những thử thách mới. Đây cũng là những năng lực cần thiết để học sinh, sinh viên tự tin tiếp cận các lĩnh vực khoa học, kỹ thuật và công nghệ trong tương lai.</w:t>
      </w:r>
    </w:p>
    <w:p>
      <w:pPr>
        <w:pStyle w:val="Normal"/>
        <w:bidi w:val="0"/>
        <w:ind w:firstLine="720" w:start="0" w:end="0"/>
        <w:jc w:val="both"/>
        <w:rPr>
          <w:sz w:val="26"/>
          <w:szCs w:val="26"/>
        </w:rPr>
      </w:pPr>
      <w:r>
        <w:rPr>
          <w:sz w:val="26"/>
          <w:szCs w:val="26"/>
        </w:rPr>
        <w:t>Với vai trò là địa điểm tổ chức vòng thi thực tế, Trường Đại học Tây Đô chào đón các đội thi đến với TP. Cần Thơ, cùng giao lưu, học hỏi và thể hiện bản lĩnh trên đấu trường Robotics. Cuộc thi kỳ vọng tiếp tục khơi dậy niềm đam mê công nghệ, thúc đẩy tinh thần sáng tạo và mở rộng cơ hội trải nghiệm khoa học cho thế hệ trẻ Đồng bằng sông Cửu Long.</w:t>
      </w:r>
    </w:p>
    <w:p>
      <w:pPr>
        <w:pStyle w:val="Normal"/>
        <w:bidi w:val="0"/>
        <w:ind w:firstLine="720" w:start="0" w:end="0"/>
        <w:jc w:val="end"/>
        <w:rPr>
          <w:b/>
          <w:bCs/>
          <w:sz w:val="26"/>
          <w:szCs w:val="26"/>
        </w:rPr>
      </w:pPr>
      <w:r>
        <w:rPr>
          <w:b/>
          <w:bCs/>
          <w:sz w:val="26"/>
          <w:szCs w:val="26"/>
        </w:rPr>
        <w:t>DUYỆT CỦA PHÒNG TS&amp;TT</w:t>
      </w:r>
    </w:p>
    <w:p>
      <w:pPr>
        <w:pStyle w:val="Normal"/>
        <w:bidi w:val="0"/>
        <w:ind w:firstLine="720" w:start="0" w:end="0"/>
        <w:jc w:val="both"/>
        <w:rPr>
          <w:sz w:val="26"/>
          <w:szCs w:val="26"/>
        </w:rPr>
      </w:pPr>
      <w:r>
        <w:rPr>
          <w:sz w:val="26"/>
          <w:szCs w:val="26"/>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Times New Roman" w:hAnsi="Times New Roman" w:eastAsia="Noto Serif CJK SC" w:cs="Noto Sans Devanagari"/>
      <w:color w:val="auto"/>
      <w:kern w:val="2"/>
      <w:sz w:val="24"/>
      <w:szCs w:val="24"/>
      <w:lang w:val="en-US" w:eastAsia="zh-CN" w:bidi="hi-IN"/>
    </w:rPr>
  </w:style>
  <w:style w:type="paragraph" w:styleId="Heading1">
    <w:name w:val="Heading 1"/>
    <w:basedOn w:val="Heading"/>
    <w:next w:val="BodyText"/>
    <w:qFormat/>
    <w:pPr>
      <w:numPr>
        <w:ilvl w:val="0"/>
        <w:numId w:val="1"/>
      </w:numPr>
      <w:spacing w:before="240" w:after="120"/>
      <w:outlineLvl w:val="0"/>
    </w:pPr>
    <w:rPr>
      <w:b/>
      <w:bCs/>
      <w:sz w:val="36"/>
      <w:szCs w:val="36"/>
    </w:rPr>
  </w:style>
  <w:style w:type="paragraph" w:styleId="Heading">
    <w:name w:val="Heading"/>
    <w:basedOn w:val="Normal"/>
    <w:next w:val="BodyText"/>
    <w:qFormat/>
    <w:pPr>
      <w:keepNext w:val="true"/>
      <w:spacing w:before="240" w:after="120"/>
    </w:pPr>
    <w:rPr>
      <w:rFonts w:ascii="Times New Roman" w:hAnsi="Times New Roman"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Noto Sans Devanagari"/>
    </w:rPr>
  </w:style>
  <w:style w:type="paragraph" w:styleId="Caption">
    <w:name w:val="Caption"/>
    <w:basedOn w:val="Normal"/>
    <w:qFormat/>
    <w:pPr>
      <w:suppressLineNumbers/>
      <w:spacing w:before="120" w:after="120"/>
    </w:pPr>
    <w:rPr>
      <w:rFonts w:ascii="Times New Roman" w:hAnsi="Times New Roman" w:cs="Noto Sans Devanagari"/>
      <w:i/>
      <w:iCs/>
      <w:sz w:val="24"/>
      <w:szCs w:val="24"/>
    </w:rPr>
  </w:style>
  <w:style w:type="paragraph" w:styleId="Index">
    <w:name w:val="Index"/>
    <w:basedOn w:val="Normal"/>
    <w:qFormat/>
    <w:pPr>
      <w:suppressLineNumbers/>
    </w:pPr>
    <w:rPr>
      <w:rFonts w:ascii="Times New Roman" w:hAnsi="Times New Roman"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LibreOffice/24.2.7.2$Linux_X86_64 LibreOffice_project/420$Build-2</Application>
  <AppVersion>15.0000</AppVersion>
  <Pages>2</Pages>
  <Words>861</Words>
  <Characters>3106</Characters>
  <CharactersWithSpaces>3961</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2026-10-19T08:03:32Z</dcterms:created>
  <dc:creator/>
  <dc:description/>
  <dc:language>en-US</dc:language>
  <cp:lastModifiedBy/>
  <dcterms:modified xsi:type="dcterms:W3CDTF">2026-10-19T08:37:57Z</dcterms:modified>
  <cp:revision>1</cp:revision>
  <dc:subject/>
  <dc:title/>
</cp:coreProperties>
</file>